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spacing w:before="0" w:beforeAutospacing="1" w:after="0" w:afterAutospacing="1"/>
        <w:ind w:left="0" w:right="0"/>
        <w:jc w:val="center"/>
      </w:pPr>
      <w:bookmarkStart w:id="0" w:name="_GoBack"/>
      <w:r>
        <w:rPr>
          <w:sz w:val="36"/>
          <w:szCs w:val="36"/>
        </w:rPr>
        <w:t>口腔科消毒隔离制度</w:t>
      </w:r>
    </w:p>
    <w:bookmarkEnd w:id="0"/>
    <w:p>
      <w:pPr>
        <w:pStyle w:val="2"/>
        <w:keepNext w:val="0"/>
        <w:keepLines w:val="0"/>
        <w:widowControl/>
        <w:suppressLineNumbers w:val="0"/>
        <w:spacing w:before="0" w:beforeAutospacing="1" w:after="0" w:afterAutospacing="1"/>
        <w:ind w:left="0" w:right="0"/>
      </w:pPr>
      <w:r>
        <w:rPr>
          <w:sz w:val="30"/>
          <w:szCs w:val="30"/>
        </w:rPr>
        <w:t>为加强口腔诊疗器械的清洗消毒工作，保障医疗质量和医疗安全，防止医院交叉感染，按照《医疗机构口腔诊疗器械消毒技术操作规范》相关要求，制定我院口腔诊疗器械消毒操作规范如下：</w:t>
      </w:r>
    </w:p>
    <w:p>
      <w:pPr>
        <w:pStyle w:val="2"/>
        <w:keepNext w:val="0"/>
        <w:keepLines w:val="0"/>
        <w:widowControl/>
        <w:suppressLineNumbers w:val="0"/>
        <w:spacing w:before="0" w:beforeAutospacing="1" w:after="0" w:afterAutospacing="1"/>
        <w:ind w:left="0" w:right="0"/>
      </w:pPr>
      <w:r>
        <w:rPr>
          <w:sz w:val="30"/>
          <w:szCs w:val="30"/>
        </w:rPr>
        <w:t>一、基本要求</w:t>
      </w:r>
    </w:p>
    <w:p>
      <w:pPr>
        <w:pStyle w:val="2"/>
        <w:keepNext w:val="0"/>
        <w:keepLines w:val="0"/>
        <w:widowControl/>
        <w:suppressLineNumbers w:val="0"/>
        <w:spacing w:before="0" w:beforeAutospacing="1" w:after="0" w:afterAutospacing="1"/>
        <w:ind w:left="0" w:right="0"/>
      </w:pPr>
      <w:r>
        <w:rPr>
          <w:sz w:val="30"/>
          <w:szCs w:val="30"/>
        </w:rPr>
        <w:t>1.成立医院感染管理小组，制订小组职责。制订科室的医院感染管理制度及其他制度。</w:t>
      </w:r>
    </w:p>
    <w:p>
      <w:pPr>
        <w:pStyle w:val="2"/>
        <w:keepNext w:val="0"/>
        <w:keepLines w:val="0"/>
        <w:widowControl/>
        <w:suppressLineNumbers w:val="0"/>
        <w:spacing w:before="0" w:beforeAutospacing="1" w:after="0" w:afterAutospacing="1"/>
        <w:ind w:left="0" w:right="0"/>
      </w:pPr>
      <w:r>
        <w:rPr>
          <w:sz w:val="30"/>
          <w:szCs w:val="30"/>
        </w:rPr>
        <w:t xml:space="preserve">2.进入病人口腔内的所有诊疗器械，必须达到“一人一用一消毒或者灭菌”的要求。 </w:t>
      </w:r>
    </w:p>
    <w:p>
      <w:pPr>
        <w:pStyle w:val="2"/>
        <w:keepNext w:val="0"/>
        <w:keepLines w:val="0"/>
        <w:widowControl/>
        <w:suppressLineNumbers w:val="0"/>
        <w:spacing w:before="0" w:beforeAutospacing="1" w:after="0" w:afterAutospacing="1"/>
        <w:ind w:left="0" w:right="0"/>
      </w:pPr>
      <w:r>
        <w:rPr>
          <w:sz w:val="30"/>
          <w:szCs w:val="30"/>
        </w:rPr>
        <w:t xml:space="preserve">3.凡接触病人伤口、血液、破损粘膜或者进入人体无菌组织的各类口腔诊疗器械，包括牙科手机、车针、根管治疗器械、拔牙器械、手术治疗器械、牙周治疗器械（包括洁牙器）、探针、镊子、敷料等，使用前必须达到灭菌。 </w:t>
      </w:r>
    </w:p>
    <w:p>
      <w:pPr>
        <w:pStyle w:val="2"/>
        <w:keepNext w:val="0"/>
        <w:keepLines w:val="0"/>
        <w:widowControl/>
        <w:suppressLineNumbers w:val="0"/>
        <w:spacing w:before="0" w:beforeAutospacing="1" w:after="0" w:afterAutospacing="1"/>
        <w:ind w:left="0" w:right="0"/>
      </w:pPr>
      <w:r>
        <w:rPr>
          <w:sz w:val="30"/>
          <w:szCs w:val="30"/>
        </w:rPr>
        <w:t xml:space="preserve">4.接触病人完整粘膜、皮肤的口腔诊疗器械，包括口镜等口腔检查器械、各类用于辅助治疗的物理测量仪器、印模托盘、漱口杯等，使用前必须达到消毒。 </w:t>
      </w:r>
    </w:p>
    <w:p>
      <w:pPr>
        <w:pStyle w:val="2"/>
        <w:keepNext w:val="0"/>
        <w:keepLines w:val="0"/>
        <w:widowControl/>
        <w:suppressLineNumbers w:val="0"/>
        <w:spacing w:before="0" w:beforeAutospacing="1" w:after="0" w:afterAutospacing="1"/>
        <w:ind w:left="0" w:right="0"/>
      </w:pPr>
      <w:r>
        <w:rPr>
          <w:sz w:val="30"/>
          <w:szCs w:val="30"/>
        </w:rPr>
        <w:t>5.各种修复、正畸模型等物品，送技工室操作前必须消毒（臭氧+紫外线消毒半小时以上）。对三用枪头、光固化机等要有消毒和隔离措施。</w:t>
      </w:r>
    </w:p>
    <w:p>
      <w:pPr>
        <w:pStyle w:val="2"/>
        <w:keepNext w:val="0"/>
        <w:keepLines w:val="0"/>
        <w:widowControl/>
        <w:suppressLineNumbers w:val="0"/>
        <w:spacing w:before="0" w:beforeAutospacing="1" w:after="0" w:afterAutospacing="1"/>
        <w:ind w:left="0" w:right="0"/>
      </w:pPr>
      <w:r>
        <w:rPr>
          <w:sz w:val="30"/>
          <w:szCs w:val="30"/>
        </w:rPr>
        <w:t>6.对口腔诊疗器械进行清洗、消毒或者灭菌的工作人员，在操作过程中应当做好个人防护工作。</w:t>
      </w:r>
    </w:p>
    <w:p>
      <w:pPr>
        <w:pStyle w:val="2"/>
        <w:keepNext w:val="0"/>
        <w:keepLines w:val="0"/>
        <w:widowControl/>
        <w:suppressLineNumbers w:val="0"/>
        <w:spacing w:before="0" w:beforeAutospacing="1" w:after="0" w:afterAutospacing="1"/>
        <w:ind w:left="0" w:right="0"/>
      </w:pPr>
      <w:r>
        <w:rPr>
          <w:sz w:val="30"/>
          <w:szCs w:val="30"/>
        </w:rPr>
        <w:t>7.诊疗者操作时必须戴口罩、帽子、手套，当有可能出现病人血液、体液喷溅时，应当戴护目镜或面罩。</w:t>
      </w:r>
    </w:p>
    <w:p>
      <w:pPr>
        <w:pStyle w:val="2"/>
        <w:keepNext w:val="0"/>
        <w:keepLines w:val="0"/>
        <w:widowControl/>
        <w:suppressLineNumbers w:val="0"/>
        <w:spacing w:before="0" w:beforeAutospacing="1" w:after="0" w:afterAutospacing="1"/>
        <w:ind w:left="0" w:right="0"/>
      </w:pPr>
      <w:r>
        <w:rPr>
          <w:sz w:val="30"/>
          <w:szCs w:val="30"/>
        </w:rPr>
        <w:t>8.使用后的医疗废物按照本院医疗废物管理办法管理。所有的损伤性废物放入锐器盒。院内废物交接使用三联单，记录完整，保存三年。</w:t>
      </w:r>
    </w:p>
    <w:p>
      <w:pPr>
        <w:pStyle w:val="2"/>
        <w:keepNext w:val="0"/>
        <w:keepLines w:val="0"/>
        <w:widowControl/>
        <w:suppressLineNumbers w:val="0"/>
        <w:spacing w:before="0" w:beforeAutospacing="1" w:after="0" w:afterAutospacing="1"/>
        <w:ind w:left="0" w:right="0"/>
      </w:pPr>
      <w:r>
        <w:rPr>
          <w:sz w:val="30"/>
          <w:szCs w:val="30"/>
        </w:rPr>
        <w:t>二、基本设施</w:t>
      </w:r>
    </w:p>
    <w:p>
      <w:pPr>
        <w:pStyle w:val="2"/>
        <w:keepNext w:val="0"/>
        <w:keepLines w:val="0"/>
        <w:widowControl/>
        <w:suppressLineNumbers w:val="0"/>
        <w:spacing w:before="0" w:beforeAutospacing="1" w:after="0" w:afterAutospacing="1"/>
        <w:ind w:left="0" w:right="0"/>
      </w:pPr>
      <w:r>
        <w:rPr>
          <w:sz w:val="30"/>
          <w:szCs w:val="30"/>
        </w:rPr>
        <w:t>1.口腔诊疗区域和口腔诊疗器械清洗、消毒区域分开，布局合理。消毒区域划分四区：污染区、清洁区、消毒区和无菌存放区。四区布局合理。物品经传递窗传递。</w:t>
      </w:r>
    </w:p>
    <w:p>
      <w:pPr>
        <w:pStyle w:val="2"/>
        <w:keepNext w:val="0"/>
        <w:keepLines w:val="0"/>
        <w:widowControl/>
        <w:suppressLineNumbers w:val="0"/>
        <w:spacing w:before="0" w:beforeAutospacing="1" w:after="0" w:afterAutospacing="1"/>
        <w:ind w:left="0" w:right="0"/>
      </w:pPr>
      <w:r>
        <w:rPr>
          <w:sz w:val="30"/>
          <w:szCs w:val="30"/>
        </w:rPr>
        <w:t>2.器械清洗室和消毒室，需配备必要的清洗消毒设施和防护用品(如口罩、帽子、面罩、橡胶手套、袖套、防水围裙等)。</w:t>
      </w:r>
    </w:p>
    <w:p>
      <w:pPr>
        <w:pStyle w:val="2"/>
        <w:keepNext w:val="0"/>
        <w:keepLines w:val="0"/>
        <w:widowControl/>
        <w:suppressLineNumbers w:val="0"/>
        <w:spacing w:before="0" w:beforeAutospacing="1" w:after="0" w:afterAutospacing="1"/>
        <w:ind w:left="0" w:right="0"/>
      </w:pPr>
      <w:r>
        <w:rPr>
          <w:sz w:val="30"/>
          <w:szCs w:val="30"/>
        </w:rPr>
        <w:t>3.灭菌设施（如压力蒸汽灭菌器、紫外线等）性能良好，化学消毒剂浓度合格。</w:t>
      </w:r>
    </w:p>
    <w:p>
      <w:pPr>
        <w:pStyle w:val="2"/>
        <w:keepNext w:val="0"/>
        <w:keepLines w:val="0"/>
        <w:widowControl/>
        <w:suppressLineNumbers w:val="0"/>
        <w:spacing w:before="0" w:beforeAutospacing="1" w:after="0" w:afterAutospacing="1"/>
        <w:ind w:left="0" w:right="0"/>
      </w:pPr>
      <w:r>
        <w:rPr>
          <w:sz w:val="30"/>
          <w:szCs w:val="30"/>
        </w:rPr>
        <w:t>4.无菌柜清洁无灰，无菌物品外观整洁，其他物品定点放置，有明显标识。</w:t>
      </w:r>
    </w:p>
    <w:p>
      <w:pPr>
        <w:pStyle w:val="2"/>
        <w:keepNext w:val="0"/>
        <w:keepLines w:val="0"/>
        <w:widowControl/>
        <w:suppressLineNumbers w:val="0"/>
        <w:spacing w:before="0" w:beforeAutospacing="1" w:after="0" w:afterAutospacing="1"/>
        <w:ind w:left="0" w:right="0"/>
      </w:pPr>
      <w:r>
        <w:rPr>
          <w:sz w:val="30"/>
          <w:szCs w:val="30"/>
        </w:rPr>
        <w:t>5.洗手设施：脚踏式开关水龙头、消毒洗手液、擦手纸、垃圾桶，并备有快速手消毒剂。</w:t>
      </w:r>
    </w:p>
    <w:p>
      <w:pPr>
        <w:pStyle w:val="2"/>
        <w:keepNext w:val="0"/>
        <w:keepLines w:val="0"/>
        <w:widowControl/>
        <w:suppressLineNumbers w:val="0"/>
        <w:spacing w:before="0" w:beforeAutospacing="1" w:after="0" w:afterAutospacing="1"/>
        <w:ind w:left="0" w:right="0"/>
      </w:pPr>
      <w:r>
        <w:rPr>
          <w:sz w:val="30"/>
          <w:szCs w:val="30"/>
        </w:rPr>
        <w:t>三、消毒工作程序及要点</w:t>
      </w:r>
    </w:p>
    <w:p>
      <w:pPr>
        <w:pStyle w:val="2"/>
        <w:keepNext w:val="0"/>
        <w:keepLines w:val="0"/>
        <w:widowControl/>
        <w:suppressLineNumbers w:val="0"/>
        <w:spacing w:before="0" w:beforeAutospacing="1" w:after="0" w:afterAutospacing="1"/>
        <w:ind w:left="0" w:right="0"/>
      </w:pPr>
      <w:r>
        <w:rPr>
          <w:sz w:val="30"/>
          <w:szCs w:val="30"/>
        </w:rPr>
        <w:t>为了保证清洗效果，使用后污染器械应及时进行去污清洗，如不能及时清洗，保湿存放（不可使用酒精等消毒液体）。</w:t>
      </w:r>
    </w:p>
    <w:p>
      <w:pPr>
        <w:pStyle w:val="2"/>
        <w:keepNext w:val="0"/>
        <w:keepLines w:val="0"/>
        <w:widowControl/>
        <w:suppressLineNumbers w:val="0"/>
        <w:spacing w:before="0" w:beforeAutospacing="1" w:after="0" w:afterAutospacing="1"/>
        <w:ind w:left="0" w:right="0"/>
      </w:pPr>
      <w:r>
        <w:rPr>
          <w:sz w:val="30"/>
          <w:szCs w:val="30"/>
        </w:rPr>
        <w:t>1.程序包括清洗、器械维护和保养、消毒或灭菌、贮存等工作。</w:t>
      </w:r>
    </w:p>
    <w:p>
      <w:pPr>
        <w:pStyle w:val="2"/>
        <w:keepNext w:val="0"/>
        <w:keepLines w:val="0"/>
        <w:widowControl/>
        <w:suppressLineNumbers w:val="0"/>
        <w:spacing w:before="0" w:beforeAutospacing="1" w:after="0" w:afterAutospacing="1"/>
        <w:ind w:left="0" w:right="0"/>
      </w:pPr>
      <w:r>
        <w:rPr>
          <w:sz w:val="30"/>
          <w:szCs w:val="30"/>
        </w:rPr>
        <w:t>清洗工作要点：自来水清洗→加酶浸泡→流水清洗（手工刷洗或机械清洗均可）→漂洗→擦干或烘干→清洗效果检查并记录。</w:t>
      </w:r>
    </w:p>
    <w:p>
      <w:pPr>
        <w:pStyle w:val="2"/>
        <w:keepNext w:val="0"/>
        <w:keepLines w:val="0"/>
        <w:widowControl/>
        <w:suppressLineNumbers w:val="0"/>
        <w:spacing w:before="0" w:beforeAutospacing="1" w:after="0" w:afterAutospacing="1"/>
        <w:ind w:left="0" w:right="0"/>
      </w:pPr>
      <w:r>
        <w:rPr>
          <w:sz w:val="30"/>
          <w:szCs w:val="30"/>
        </w:rPr>
        <w:t>（1）口腔诊疗器械使用后，及时用流动水彻底清洗，然后加酶浸泡，再用流动水清洗、漂洗，已清洗干净的器械在清洁区擦干或机械烘干。</w:t>
      </w:r>
    </w:p>
    <w:p>
      <w:pPr>
        <w:pStyle w:val="2"/>
        <w:keepNext w:val="0"/>
        <w:keepLines w:val="0"/>
        <w:widowControl/>
        <w:suppressLineNumbers w:val="0"/>
        <w:spacing w:before="0" w:beforeAutospacing="1" w:after="0" w:afterAutospacing="1"/>
        <w:ind w:left="0" w:right="0"/>
      </w:pPr>
      <w:r>
        <w:rPr>
          <w:sz w:val="30"/>
          <w:szCs w:val="30"/>
        </w:rPr>
        <w:t>（2）清洗效果检查：分日常监测和定期抽查。日常监测：通过目测进行器械清洗效果的检查。</w:t>
      </w:r>
    </w:p>
    <w:p>
      <w:pPr>
        <w:pStyle w:val="2"/>
        <w:keepNext w:val="0"/>
        <w:keepLines w:val="0"/>
        <w:widowControl/>
        <w:suppressLineNumbers w:val="0"/>
        <w:spacing w:before="0" w:beforeAutospacing="1" w:after="0" w:afterAutospacing="1"/>
        <w:ind w:left="0" w:right="0"/>
      </w:pPr>
      <w:r>
        <w:rPr>
          <w:sz w:val="30"/>
          <w:szCs w:val="30"/>
        </w:rPr>
        <w:t>（3）将清洁干净的手机和特殊口腔诊疗器械注入适量专用润滑剂，并检查其使用性能是否完好。</w:t>
      </w:r>
    </w:p>
    <w:p>
      <w:pPr>
        <w:pStyle w:val="2"/>
        <w:keepNext w:val="0"/>
        <w:keepLines w:val="0"/>
        <w:widowControl/>
        <w:suppressLineNumbers w:val="0"/>
        <w:spacing w:before="0" w:beforeAutospacing="1" w:after="0" w:afterAutospacing="1"/>
        <w:ind w:left="0" w:right="0"/>
      </w:pPr>
      <w:r>
        <w:rPr>
          <w:sz w:val="30"/>
          <w:szCs w:val="30"/>
        </w:rPr>
        <w:t>（4）给器械进行正确的包装，包外有灭菌标识，注明灭菌日期、有效期、责任人。</w:t>
      </w:r>
    </w:p>
    <w:p>
      <w:pPr>
        <w:pStyle w:val="2"/>
        <w:keepNext w:val="0"/>
        <w:keepLines w:val="0"/>
        <w:widowControl/>
        <w:suppressLineNumbers w:val="0"/>
        <w:spacing w:before="0" w:beforeAutospacing="1" w:after="0" w:afterAutospacing="1"/>
        <w:ind w:left="0" w:right="0"/>
      </w:pPr>
      <w:r>
        <w:rPr>
          <w:sz w:val="30"/>
          <w:szCs w:val="30"/>
        </w:rPr>
        <w:t>（5）牙科手机和耐湿热、需要灭菌的口腔诊疗器械，首选压力蒸汽灭菌的方法进行灭菌。</w:t>
      </w:r>
    </w:p>
    <w:p>
      <w:pPr>
        <w:pStyle w:val="2"/>
        <w:keepNext w:val="0"/>
        <w:keepLines w:val="0"/>
        <w:widowControl/>
        <w:suppressLineNumbers w:val="0"/>
        <w:spacing w:before="0" w:beforeAutospacing="1" w:after="0" w:afterAutospacing="1"/>
        <w:ind w:left="0" w:right="0"/>
      </w:pPr>
      <w:r>
        <w:rPr>
          <w:sz w:val="30"/>
          <w:szCs w:val="30"/>
        </w:rPr>
        <w:t>（6）模型送至加工厂统一进行消毒。</w:t>
      </w:r>
    </w:p>
    <w:p>
      <w:pPr>
        <w:pStyle w:val="2"/>
        <w:keepNext w:val="0"/>
        <w:keepLines w:val="0"/>
        <w:widowControl/>
        <w:suppressLineNumbers w:val="0"/>
        <w:spacing w:before="0" w:beforeAutospacing="1" w:after="0" w:afterAutospacing="1"/>
        <w:ind w:left="0" w:right="0"/>
      </w:pPr>
      <w:r>
        <w:rPr>
          <w:sz w:val="30"/>
          <w:szCs w:val="30"/>
        </w:rPr>
        <w:t>（7）每次治疗开始前和结束后及时踩脚闸冲洗管腔30秒，减少回吸污染。</w:t>
      </w:r>
    </w:p>
    <w:p>
      <w:pPr>
        <w:pStyle w:val="2"/>
        <w:keepNext w:val="0"/>
        <w:keepLines w:val="0"/>
        <w:widowControl/>
        <w:suppressLineNumbers w:val="0"/>
        <w:spacing w:before="0" w:beforeAutospacing="1" w:after="0" w:afterAutospacing="1"/>
        <w:ind w:left="0" w:right="0"/>
      </w:pPr>
      <w:r>
        <w:rPr>
          <w:sz w:val="30"/>
          <w:szCs w:val="30"/>
        </w:rPr>
        <w:t>四、诊疗环境的消毒</w:t>
      </w:r>
    </w:p>
    <w:p>
      <w:pPr>
        <w:pStyle w:val="2"/>
        <w:keepNext w:val="0"/>
        <w:keepLines w:val="0"/>
        <w:widowControl/>
        <w:suppressLineNumbers w:val="0"/>
        <w:spacing w:before="0" w:beforeAutospacing="1" w:after="0" w:afterAutospacing="1"/>
        <w:ind w:left="0" w:right="0"/>
      </w:pPr>
      <w:r>
        <w:rPr>
          <w:sz w:val="30"/>
          <w:szCs w:val="30"/>
        </w:rPr>
        <w:t>1.牙科综合治疗台及其配套设施应每日清洁、消毒，遇污染应及时清洁、消毒。如手机及三用枪座、照明灯手柄及开关、牙椅操作台拉手及牙椅升降开关处等容易被污染处应在治疗每个病人后常规消毒或有一次性保护膜覆盖。</w:t>
      </w:r>
    </w:p>
    <w:p>
      <w:pPr>
        <w:pStyle w:val="2"/>
        <w:keepNext w:val="0"/>
        <w:keepLines w:val="0"/>
        <w:widowControl/>
        <w:suppressLineNumbers w:val="0"/>
        <w:spacing w:before="0" w:beforeAutospacing="1" w:after="0" w:afterAutospacing="1"/>
        <w:ind w:left="0" w:right="0"/>
      </w:pPr>
      <w:r>
        <w:rPr>
          <w:sz w:val="30"/>
          <w:szCs w:val="30"/>
        </w:rPr>
        <w:t>2.诊疗室地面保持清洁卫生，每日湿式清扫、拖地2次，污染时随时清洁、消毒。</w:t>
      </w:r>
    </w:p>
    <w:p>
      <w:pPr>
        <w:pStyle w:val="2"/>
        <w:keepNext w:val="0"/>
        <w:keepLines w:val="0"/>
        <w:widowControl/>
        <w:suppressLineNumbers w:val="0"/>
        <w:spacing w:before="0" w:beforeAutospacing="1" w:after="0" w:afterAutospacing="1"/>
        <w:ind w:left="0" w:right="0"/>
      </w:pPr>
      <w:r>
        <w:rPr>
          <w:sz w:val="30"/>
          <w:szCs w:val="30"/>
        </w:rPr>
        <w:t>3.每日定时通风或紫外线消毒空气，有消毒记录。</w:t>
      </w:r>
    </w:p>
    <w:p>
      <w:pPr>
        <w:pStyle w:val="2"/>
        <w:keepNext w:val="0"/>
        <w:keepLines w:val="0"/>
        <w:widowControl/>
        <w:suppressLineNumbers w:val="0"/>
        <w:spacing w:before="0" w:beforeAutospacing="1" w:after="0" w:afterAutospacing="1"/>
        <w:ind w:left="0" w:right="0"/>
      </w:pPr>
      <w:r>
        <w:rPr>
          <w:sz w:val="30"/>
          <w:szCs w:val="30"/>
        </w:rPr>
        <w:t>4.每周对环境进行一次彻底的清洁、消毒。</w:t>
      </w:r>
    </w:p>
    <w:p>
      <w:pPr>
        <w:pStyle w:val="2"/>
        <w:keepNext w:val="0"/>
        <w:keepLines w:val="0"/>
        <w:widowControl/>
        <w:suppressLineNumbers w:val="0"/>
        <w:spacing w:before="0" w:beforeAutospacing="1" w:after="0" w:afterAutospacing="1"/>
        <w:ind w:left="0" w:right="0"/>
      </w:pPr>
      <w:r>
        <w:rPr>
          <w:sz w:val="30"/>
          <w:szCs w:val="30"/>
        </w:rPr>
        <w:t>五、注意事项</w:t>
      </w:r>
    </w:p>
    <w:p>
      <w:pPr>
        <w:pStyle w:val="2"/>
        <w:keepNext w:val="0"/>
        <w:keepLines w:val="0"/>
        <w:widowControl/>
        <w:suppressLineNumbers w:val="0"/>
        <w:spacing w:before="0" w:beforeAutospacing="1" w:after="0" w:afterAutospacing="1"/>
        <w:ind w:left="0" w:right="0"/>
      </w:pPr>
      <w:r>
        <w:rPr>
          <w:sz w:val="30"/>
          <w:szCs w:val="30"/>
        </w:rPr>
        <w:t>规范的洗手是预防与控制疾病传播的最方便、最有效、最经济的一个独立环节。</w:t>
      </w:r>
    </w:p>
    <w:p>
      <w:pPr>
        <w:pStyle w:val="2"/>
        <w:keepNext w:val="0"/>
        <w:keepLines w:val="0"/>
        <w:widowControl/>
        <w:suppressLineNumbers w:val="0"/>
        <w:spacing w:before="0" w:beforeAutospacing="1" w:after="0" w:afterAutospacing="1"/>
        <w:ind w:left="0" w:right="0"/>
      </w:pPr>
      <w:r>
        <w:rPr>
          <w:sz w:val="30"/>
          <w:szCs w:val="30"/>
        </w:rPr>
        <w:t>1.在给每位病人操作前后必须洗手或手消毒。</w:t>
      </w:r>
    </w:p>
    <w:p>
      <w:pPr>
        <w:pStyle w:val="2"/>
        <w:keepNext w:val="0"/>
        <w:keepLines w:val="0"/>
        <w:widowControl/>
        <w:suppressLineNumbers w:val="0"/>
        <w:spacing w:before="0" w:beforeAutospacing="1" w:after="0" w:afterAutospacing="1"/>
        <w:ind w:left="0" w:right="0"/>
      </w:pPr>
      <w:r>
        <w:rPr>
          <w:sz w:val="30"/>
          <w:szCs w:val="30"/>
        </w:rPr>
        <w:t>2.戴手套操作时，每治疗一个病人应更换一付手套并进行洗手或手消毒。</w:t>
      </w:r>
    </w:p>
    <w:p>
      <w:pPr>
        <w:pStyle w:val="2"/>
        <w:keepNext w:val="0"/>
        <w:keepLines w:val="0"/>
        <w:widowControl/>
        <w:suppressLineNumbers w:val="0"/>
        <w:spacing w:before="0" w:beforeAutospacing="1" w:after="0" w:afterAutospacing="1"/>
        <w:ind w:left="0" w:right="0"/>
      </w:pPr>
      <w:r>
        <w:rPr>
          <w:sz w:val="30"/>
          <w:szCs w:val="30"/>
        </w:rPr>
        <w:t>3.操作开始前尽可能备齐器械物品，中间确需增加物品，可使用一次性纸巾或薄膜手套作避污隔离用。</w:t>
      </w:r>
    </w:p>
    <w:p>
      <w:pPr>
        <w:pStyle w:val="2"/>
        <w:keepNext w:val="0"/>
        <w:keepLines w:val="0"/>
        <w:widowControl/>
        <w:suppressLineNumbers w:val="0"/>
        <w:spacing w:before="0" w:beforeAutospacing="1" w:after="0" w:afterAutospacing="1"/>
        <w:ind w:left="0" w:right="0"/>
      </w:pPr>
      <w:r>
        <w:rPr>
          <w:sz w:val="30"/>
          <w:szCs w:val="30"/>
        </w:rPr>
        <w:t>4.使用和处置尖锐器械时要小心防范，避免伤害。</w:t>
      </w:r>
    </w:p>
    <w:p>
      <w:pPr>
        <w:pStyle w:val="2"/>
        <w:keepNext w:val="0"/>
        <w:keepLines w:val="0"/>
        <w:widowControl/>
        <w:suppressLineNumbers w:val="0"/>
        <w:spacing w:before="0" w:beforeAutospacing="1" w:after="0" w:afterAutospacing="1"/>
        <w:ind w:left="0" w:right="0"/>
      </w:pPr>
      <w:r>
        <w:rPr>
          <w:sz w:val="30"/>
          <w:szCs w:val="30"/>
        </w:rPr>
        <w:t>5.戴着手套不可整理头发、眼镜、口罩、揉眼、抓痒或接电话、拉抽屉、写病历等。</w:t>
      </w:r>
    </w:p>
    <w:p>
      <w:pPr>
        <w:pStyle w:val="2"/>
        <w:keepNext w:val="0"/>
        <w:keepLines w:val="0"/>
        <w:widowControl/>
        <w:suppressLineNumbers w:val="0"/>
        <w:spacing w:before="0" w:beforeAutospacing="1" w:after="0" w:afterAutospacing="1"/>
        <w:ind w:left="0" w:right="0"/>
      </w:pPr>
      <w:r>
        <w:rPr>
          <w:sz w:val="30"/>
          <w:szCs w:val="30"/>
        </w:rPr>
        <w:t>6</w:t>
      </w:r>
      <w:r>
        <w:rPr>
          <w:color w:val="0000FF"/>
          <w:sz w:val="30"/>
          <w:szCs w:val="30"/>
        </w:rPr>
        <w:t>.</w:t>
      </w:r>
      <w:r>
        <w:rPr>
          <w:sz w:val="30"/>
          <w:szCs w:val="30"/>
        </w:rPr>
        <w:t>麻药应注明启用日期与时间，现用现抽，尽量使用小包装。抽出的局麻药超过2小时后不得使用。</w:t>
      </w:r>
    </w:p>
    <w:p>
      <w:pPr>
        <w:pStyle w:val="2"/>
        <w:keepNext w:val="0"/>
        <w:keepLines w:val="0"/>
        <w:widowControl/>
        <w:suppressLineNumbers w:val="0"/>
        <w:spacing w:before="0" w:beforeAutospacing="1" w:after="0" w:afterAutospacing="1"/>
        <w:ind w:left="0" w:right="0"/>
      </w:pPr>
      <w:r>
        <w:rPr>
          <w:sz w:val="30"/>
          <w:szCs w:val="30"/>
        </w:rPr>
        <w:t>7.口腔门诊病人，在治疗前可先用漱口液漱口，减少口腔内微生物数量。</w:t>
      </w:r>
    </w:p>
    <w:p>
      <w:pPr>
        <w:pStyle w:val="2"/>
        <w:keepNext w:val="0"/>
        <w:keepLines w:val="0"/>
        <w:widowControl/>
        <w:suppressLineNumbers w:val="0"/>
        <w:spacing w:before="0" w:beforeAutospacing="1" w:after="0" w:afterAutospacing="1"/>
        <w:ind w:left="0" w:right="0"/>
      </w:pPr>
      <w:r>
        <w:rPr>
          <w:sz w:val="30"/>
          <w:szCs w:val="30"/>
        </w:rPr>
        <w:t>8.破伤风、炭疽、朊毒体、气性坏疽等特殊病原体污染的器械应先消毒——再清洗——再灭菌。</w:t>
      </w:r>
    </w:p>
    <w:p>
      <w:pPr>
        <w:pStyle w:val="2"/>
        <w:keepNext w:val="0"/>
        <w:keepLines w:val="0"/>
        <w:widowControl/>
        <w:suppressLineNumbers w:val="0"/>
        <w:spacing w:before="0" w:beforeAutospacing="1" w:after="0" w:afterAutospacing="1"/>
        <w:ind w:left="0" w:right="0"/>
      </w:pPr>
      <w:r>
        <w:rPr>
          <w:sz w:val="30"/>
          <w:szCs w:val="30"/>
        </w:rPr>
        <w:t>9.若新购置综合治疗台必须配备管腔防回吸装置，使用防回吸牙科手机。</w:t>
      </w:r>
    </w:p>
    <w:p>
      <w:pPr>
        <w:pStyle w:val="2"/>
        <w:keepNext w:val="0"/>
        <w:keepLines w:val="0"/>
        <w:widowControl/>
        <w:suppressLineNumbers w:val="0"/>
        <w:spacing w:before="0" w:beforeAutospacing="1" w:after="0" w:afterAutospacing="1"/>
        <w:ind w:left="0" w:right="0"/>
      </w:pPr>
      <w:r>
        <w:rPr>
          <w:sz w:val="30"/>
          <w:szCs w:val="30"/>
        </w:rPr>
        <w:t>六、消毒灭菌效果监测</w:t>
      </w:r>
    </w:p>
    <w:p>
      <w:pPr>
        <w:pStyle w:val="2"/>
        <w:keepNext w:val="0"/>
        <w:keepLines w:val="0"/>
        <w:widowControl/>
        <w:suppressLineNumbers w:val="0"/>
        <w:spacing w:before="0" w:beforeAutospacing="1" w:after="0" w:afterAutospacing="1"/>
        <w:ind w:left="0" w:right="0"/>
      </w:pPr>
      <w:r>
        <w:rPr>
          <w:sz w:val="30"/>
          <w:szCs w:val="30"/>
        </w:rPr>
        <w:t>1.工艺监测：每锅进行。包括灭菌物品、洗涤、包装质量合格；灭菌物品放置灭菌器的方法合格；灭菌器的仪表运行正常；灭菌器的运行程序正常。</w:t>
      </w:r>
    </w:p>
    <w:p>
      <w:pPr>
        <w:pStyle w:val="2"/>
        <w:keepNext w:val="0"/>
        <w:keepLines w:val="0"/>
        <w:widowControl/>
        <w:suppressLineNumbers w:val="0"/>
        <w:spacing w:before="0" w:beforeAutospacing="1" w:after="0" w:afterAutospacing="1"/>
        <w:ind w:left="0" w:right="0"/>
      </w:pPr>
      <w:r>
        <w:rPr>
          <w:sz w:val="30"/>
          <w:szCs w:val="30"/>
        </w:rPr>
        <w:t>2.化学监测：每包进行。有灭菌标识，注明灭菌日期、有效期、责任人。</w:t>
      </w:r>
    </w:p>
    <w:p>
      <w:pPr>
        <w:pStyle w:val="2"/>
        <w:keepNext w:val="0"/>
        <w:keepLines w:val="0"/>
        <w:widowControl/>
        <w:suppressLineNumbers w:val="0"/>
        <w:spacing w:before="0" w:beforeAutospacing="1" w:after="0" w:afterAutospacing="1"/>
        <w:ind w:left="0" w:right="0"/>
      </w:pPr>
      <w:r>
        <w:rPr>
          <w:sz w:val="30"/>
          <w:szCs w:val="30"/>
        </w:rPr>
        <w:t>3.生物监测：每月一次。维修后再投入使用前应进行监测，合格后方可投入使用。</w:t>
      </w:r>
    </w:p>
    <w:p>
      <w:pPr>
        <w:pStyle w:val="2"/>
        <w:keepNext w:val="0"/>
        <w:keepLines w:val="0"/>
        <w:widowControl/>
        <w:suppressLineNumbers w:val="0"/>
        <w:spacing w:before="0" w:beforeAutospacing="1" w:after="0" w:afterAutospacing="1"/>
        <w:ind w:left="0" w:right="0"/>
      </w:pPr>
      <w:r>
        <w:rPr>
          <w:sz w:val="30"/>
          <w:szCs w:val="30"/>
        </w:rPr>
        <w:t>七、消毒灭菌物品存储</w:t>
      </w:r>
    </w:p>
    <w:p>
      <w:pPr>
        <w:pStyle w:val="2"/>
        <w:keepNext w:val="0"/>
        <w:keepLines w:val="0"/>
        <w:widowControl/>
        <w:suppressLineNumbers w:val="0"/>
        <w:spacing w:before="0" w:beforeAutospacing="1" w:after="0" w:afterAutospacing="1"/>
        <w:ind w:left="0" w:right="0"/>
      </w:pPr>
      <w:r>
        <w:rPr>
          <w:sz w:val="30"/>
          <w:szCs w:val="30"/>
        </w:rPr>
        <w:t>1.消毒级别物品包装和存储环境参照灭菌物品，保存周期不超过7天。</w:t>
      </w:r>
    </w:p>
    <w:p>
      <w:pPr>
        <w:pStyle w:val="2"/>
        <w:keepNext w:val="0"/>
        <w:keepLines w:val="0"/>
        <w:widowControl/>
        <w:suppressLineNumbers w:val="0"/>
        <w:spacing w:before="0" w:beforeAutospacing="1" w:after="0" w:afterAutospacing="1"/>
        <w:ind w:left="0" w:right="0"/>
      </w:pPr>
      <w:r>
        <w:rPr>
          <w:sz w:val="30"/>
          <w:szCs w:val="30"/>
        </w:rPr>
        <w:t>2.自动通气储槽包装灭菌级别物品，开启后可使用4h。</w:t>
      </w:r>
    </w:p>
    <w:p>
      <w:pPr>
        <w:pStyle w:val="2"/>
        <w:keepNext w:val="0"/>
        <w:keepLines w:val="0"/>
        <w:widowControl/>
        <w:suppressLineNumbers w:val="0"/>
        <w:spacing w:before="0" w:beforeAutospacing="1" w:after="0" w:afterAutospacing="1"/>
        <w:ind w:left="0" w:right="0"/>
      </w:pPr>
      <w:r>
        <w:rPr>
          <w:sz w:val="30"/>
          <w:szCs w:val="30"/>
        </w:rPr>
        <w:t>3.手动通气储槽包装灭菌级别物品建议增加内置包布包裹，否则按灭菌后4h内使用处理。</w:t>
      </w:r>
    </w:p>
    <w:p>
      <w:pPr>
        <w:pStyle w:val="2"/>
        <w:keepNext w:val="0"/>
        <w:keepLines w:val="0"/>
        <w:widowControl/>
        <w:suppressLineNumbers w:val="0"/>
        <w:spacing w:before="0" w:beforeAutospacing="1" w:after="0" w:afterAutospacing="1"/>
        <w:ind w:left="0" w:right="0"/>
      </w:pPr>
      <w:r>
        <w:rPr>
          <w:sz w:val="30"/>
          <w:szCs w:val="30"/>
        </w:rPr>
        <w:t>八、使用中的化学消毒剂监测</w:t>
      </w:r>
    </w:p>
    <w:p>
      <w:pPr>
        <w:pStyle w:val="2"/>
        <w:keepNext w:val="0"/>
        <w:keepLines w:val="0"/>
        <w:widowControl/>
        <w:suppressLineNumbers w:val="0"/>
        <w:spacing w:before="0" w:beforeAutospacing="1" w:after="0" w:afterAutospacing="1"/>
        <w:ind w:left="0" w:right="0"/>
      </w:pPr>
      <w:r>
        <w:rPr>
          <w:sz w:val="30"/>
          <w:szCs w:val="30"/>
        </w:rPr>
        <w:t>1.浓度监测：易挥发的含氯消毒剂等每日监测浓度，有记录。</w:t>
      </w:r>
    </w:p>
    <w:p>
      <w:pPr>
        <w:pStyle w:val="2"/>
        <w:keepNext w:val="0"/>
        <w:keepLines w:val="0"/>
        <w:widowControl/>
        <w:suppressLineNumbers w:val="0"/>
        <w:spacing w:before="0" w:beforeAutospacing="1" w:after="0" w:afterAutospacing="1"/>
        <w:ind w:left="0" w:right="0"/>
      </w:pPr>
      <w:r>
        <w:rPr>
          <w:sz w:val="30"/>
          <w:szCs w:val="30"/>
        </w:rPr>
        <w:t>2.微生物监测：消毒剂每季度监测。有记录。</w:t>
      </w:r>
    </w:p>
    <w:p>
      <w:pPr>
        <w:pStyle w:val="2"/>
        <w:keepNext w:val="0"/>
        <w:keepLines w:val="0"/>
        <w:widowControl/>
        <w:suppressLineNumbers w:val="0"/>
        <w:spacing w:before="0" w:beforeAutospacing="1" w:after="0" w:afterAutospacing="1"/>
        <w:ind w:left="0" w:right="0"/>
      </w:pPr>
      <w:r>
        <w:rPr>
          <w:sz w:val="30"/>
          <w:szCs w:val="30"/>
        </w:rPr>
        <w:t>九、关于口腔常用药品器皿</w:t>
      </w:r>
    </w:p>
    <w:p>
      <w:pPr>
        <w:pStyle w:val="2"/>
        <w:keepNext w:val="0"/>
        <w:keepLines w:val="0"/>
        <w:widowControl/>
        <w:suppressLineNumbers w:val="0"/>
        <w:spacing w:before="0" w:beforeAutospacing="1" w:after="0" w:afterAutospacing="1"/>
        <w:ind w:left="0" w:right="0"/>
      </w:pPr>
      <w:r>
        <w:rPr>
          <w:sz w:val="30"/>
          <w:szCs w:val="30"/>
        </w:rPr>
        <w:t>1.建议口腔临床常用药品如丁香油、甲醛甲酚溶液等使用小包装。</w:t>
      </w:r>
    </w:p>
    <w:p>
      <w:pPr>
        <w:pStyle w:val="2"/>
        <w:keepNext w:val="0"/>
        <w:keepLines w:val="0"/>
        <w:widowControl/>
        <w:suppressLineNumbers w:val="0"/>
        <w:spacing w:before="0" w:beforeAutospacing="1" w:after="0" w:afterAutospacing="1"/>
        <w:ind w:left="0" w:right="0"/>
      </w:pPr>
      <w:r>
        <w:rPr>
          <w:sz w:val="30"/>
          <w:szCs w:val="30"/>
        </w:rPr>
        <w:t>2.采用分装玻璃瓶等方式使用时，该容器应做到每周总消毒。</w:t>
      </w:r>
    </w:p>
    <w:p>
      <w:pPr>
        <w:pStyle w:val="2"/>
        <w:keepNext w:val="0"/>
        <w:keepLines w:val="0"/>
        <w:widowControl/>
        <w:suppressLineNumbers w:val="0"/>
        <w:spacing w:before="0" w:beforeAutospacing="1" w:after="0" w:afterAutospacing="1"/>
        <w:ind w:left="0" w:right="0"/>
      </w:pPr>
      <w:r>
        <w:rPr>
          <w:sz w:val="30"/>
          <w:szCs w:val="30"/>
        </w:rPr>
        <w:t>十．关于车针扩大针</w:t>
      </w:r>
    </w:p>
    <w:p>
      <w:pPr>
        <w:pStyle w:val="2"/>
        <w:keepNext w:val="0"/>
        <w:keepLines w:val="0"/>
        <w:widowControl/>
        <w:suppressLineNumbers w:val="0"/>
        <w:spacing w:before="0" w:beforeAutospacing="1" w:after="0" w:afterAutospacing="1"/>
        <w:ind w:left="0" w:right="0"/>
      </w:pPr>
      <w:r>
        <w:rPr>
          <w:sz w:val="30"/>
          <w:szCs w:val="30"/>
        </w:rPr>
        <w:t>要求车针扩大针采用独立灭菌小包装，每包装内器械仅可用于一位患者。</w:t>
      </w:r>
    </w:p>
    <w:p>
      <w:pPr>
        <w:pStyle w:val="2"/>
        <w:keepNext w:val="0"/>
        <w:keepLines w:val="0"/>
        <w:widowControl/>
        <w:suppressLineNumbers w:val="0"/>
        <w:spacing w:before="0" w:beforeAutospacing="1" w:after="0" w:afterAutospacing="1"/>
        <w:ind w:left="0" w:right="0"/>
      </w:pPr>
      <w:r>
        <w:rPr>
          <w:sz w:val="30"/>
          <w:szCs w:val="30"/>
        </w:rPr>
        <w:t>十一.关于牙胶尖的消毒</w:t>
      </w:r>
    </w:p>
    <w:p>
      <w:pPr>
        <w:pStyle w:val="2"/>
        <w:keepNext w:val="0"/>
        <w:keepLines w:val="0"/>
        <w:widowControl/>
        <w:suppressLineNumbers w:val="0"/>
        <w:spacing w:before="0" w:beforeAutospacing="1" w:after="0" w:afterAutospacing="1"/>
        <w:ind w:left="0" w:right="0"/>
      </w:pPr>
      <w:r>
        <w:rPr>
          <w:sz w:val="30"/>
          <w:szCs w:val="30"/>
        </w:rPr>
        <w:t xml:space="preserve">牙胶尖提倡直接购买环氧乙烷低温灭菌类产品，临床中使用前酒精擦拭。 </w:t>
      </w:r>
    </w:p>
    <w:p>
      <w:pPr>
        <w:pStyle w:val="2"/>
        <w:keepNext w:val="0"/>
        <w:keepLines w:val="0"/>
        <w:widowControl/>
        <w:suppressLineNumbers w:val="0"/>
        <w:spacing w:before="0" w:beforeAutospacing="1" w:after="0" w:afterAutospacing="1"/>
        <w:ind w:left="0" w:right="0"/>
      </w:pPr>
      <w:r>
        <w:rPr>
          <w:sz w:val="30"/>
          <w:szCs w:val="30"/>
        </w:rPr>
        <w:t>十二.</w:t>
      </w:r>
      <w:r>
        <w:rPr>
          <w:color w:val="548DD4"/>
          <w:sz w:val="30"/>
          <w:szCs w:val="30"/>
        </w:rPr>
        <w:t xml:space="preserve"> </w:t>
      </w:r>
      <w:r>
        <w:rPr>
          <w:sz w:val="30"/>
          <w:szCs w:val="30"/>
        </w:rPr>
        <w:t>裸露灭菌器械化学监测</w:t>
      </w:r>
    </w:p>
    <w:p>
      <w:pPr>
        <w:pStyle w:val="2"/>
        <w:keepNext w:val="0"/>
        <w:keepLines w:val="0"/>
        <w:widowControl/>
        <w:suppressLineNumbers w:val="0"/>
        <w:spacing w:before="0" w:beforeAutospacing="1" w:after="0" w:afterAutospacing="1"/>
        <w:ind w:left="0" w:right="0"/>
      </w:pPr>
      <w:r>
        <w:rPr>
          <w:sz w:val="30"/>
          <w:szCs w:val="30"/>
        </w:rPr>
        <w:t>1.裸露灭菌器械应当在容器内器械旁放置指示卡进行化学监测。</w:t>
      </w:r>
    </w:p>
    <w:p>
      <w:pPr>
        <w:pStyle w:val="2"/>
        <w:keepNext w:val="0"/>
        <w:keepLines w:val="0"/>
        <w:widowControl/>
        <w:suppressLineNumbers w:val="0"/>
        <w:spacing w:before="0" w:beforeAutospacing="1" w:after="0" w:afterAutospacing="1"/>
        <w:ind w:left="0" w:right="0"/>
      </w:pPr>
      <w:r>
        <w:rPr>
          <w:sz w:val="30"/>
          <w:szCs w:val="30"/>
        </w:rPr>
        <w:t>2.灭菌记录内容：灭菌器编号、锅次、灭菌日期、有效期、操作人员、内容物等。</w:t>
      </w:r>
    </w:p>
    <w:p>
      <w:pPr>
        <w:jc w:val="left"/>
      </w:pPr>
    </w:p>
    <w:sectPr>
      <w:pgSz w:w="11906" w:h="16838"/>
      <w:pgMar w:top="1440" w:right="1800" w:bottom="1440" w:left="1800" w:header="720" w:footer="720" w:gutter="0"/>
      <w:pgNumType w:start="1"/>
      <w:cols w:space="720" w:num="1"/>
      <w:docGrid w:linePitch="1"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embedRegular r:id="rId1" w:fontKey="{C8FA4E26-D438-4B29-9C62-281074A15013}"/>
  </w:font>
  <w:font w:name="宋体">
    <w:panose1 w:val="02010600030101010101"/>
    <w:charset w:val="86"/>
    <w:family w:val="auto"/>
    <w:pitch w:val="default"/>
    <w:sig w:usb0="00000003" w:usb1="288F0000" w:usb2="00000006" w:usb3="00000000" w:csb0="00040001" w:csb1="00000000"/>
    <w:embedRegular r:id="rId2" w:fontKey="{CF75A8B2-55E9-406A-840A-6A256F328712}"/>
  </w:font>
  <w:font w:name="Wingdings">
    <w:panose1 w:val="05000000000000000000"/>
    <w:charset w:val="02"/>
    <w:family w:val="auto"/>
    <w:pitch w:val="default"/>
    <w:sig w:usb0="00000000" w:usb1="00000000" w:usb2="00000000" w:usb3="00000000" w:csb0="80000000" w:csb1="00000000"/>
    <w:embedRegular r:id="rId3" w:fontKey="{7EFFBCA0-126B-44E8-A589-B69221D0C882}"/>
  </w:font>
  <w:font w:name="Arial">
    <w:panose1 w:val="020B0604020202020204"/>
    <w:charset w:val="01"/>
    <w:family w:val="swiss"/>
    <w:pitch w:val="default"/>
    <w:sig w:usb0="E0002EFF" w:usb1="C000785B" w:usb2="00000009" w:usb3="00000000" w:csb0="400001FF" w:csb1="FFFF0000"/>
    <w:embedRegular r:id="rId4" w:fontKey="{51115EE8-56AC-4737-8C17-F1A8AB1F4CA8}"/>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5" w:fontKey="{83794905-6C5A-4069-9DE8-EF7CA493F210}"/>
  </w:font>
  <w:font w:name="Symbol">
    <w:panose1 w:val="05050102010706020507"/>
    <w:charset w:val="02"/>
    <w:family w:val="roman"/>
    <w:pitch w:val="default"/>
    <w:sig w:usb0="00000000" w:usb1="00000000" w:usb2="00000000" w:usb3="00000000" w:csb0="80000000" w:csb1="00000000"/>
    <w:embedRegular r:id="rId6" w:fontKey="{DE7F204E-D198-4B8F-9BC8-2205907262DE}"/>
  </w:font>
  <w:font w:name="Calibri">
    <w:panose1 w:val="020F0502020204030204"/>
    <w:charset w:val="00"/>
    <w:family w:val="swiss"/>
    <w:pitch w:val="default"/>
    <w:sig w:usb0="E0002EFF" w:usb1="C000247B" w:usb2="00000009" w:usb3="00000000" w:csb0="200001FF" w:csb1="00000000"/>
    <w:embedRegular r:id="rId7" w:fontKey="{225FF1E6-66A2-46A1-A30C-6D55062C08AF}"/>
  </w:font>
  <w:font w:name="Arial">
    <w:panose1 w:val="020B0604020202020204"/>
    <w:charset w:val="CC"/>
    <w:family w:val="swiss"/>
    <w:pitch w:val="default"/>
    <w:sig w:usb0="E0002EFF" w:usb1="C000785B" w:usb2="00000009" w:usb3="00000000" w:csb0="400001FF" w:csb1="FFFF0000"/>
    <w:embedRegular r:id="rId8" w:fontKey="{F15BA848-7758-4347-BC4E-4C57F5BED61F}"/>
  </w:font>
  <w:font w:name="WRKFBU+Nimbus Roman No9 L Regular">
    <w:panose1 w:val="02000500000000000000"/>
    <w:charset w:val="00"/>
    <w:family w:val="auto"/>
    <w:pitch w:val="default"/>
    <w:sig w:usb0="00000000" w:usb1="00000000" w:usb2="00000000" w:usb3="00000000" w:csb0="00000000" w:csb1="00000000"/>
    <w:embedRegular r:id="rId9" w:fontKey="{ABE72886-44A1-4563-9DD4-0BC77BF9B124}"/>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oNotDisplayPageBoundaries w:val="1"/>
  <w:embedTrueTypeFonts/>
  <w:embedSystemFonts/>
  <w:bordersDoNotSurroundHeader w:val="0"/>
  <w:bordersDoNotSurroundFooter w:val="0"/>
  <w:documentProtection w:enforcement="0"/>
  <w:defaultTabStop w:val="708"/>
  <w:displayHorizontalDrawingGridEvery w:val="1"/>
  <w:displayVerticalDrawingGridEvery w:val="1"/>
  <w:noPunctuationKerning w:val="1"/>
  <w:characterSpacingControl w:val="doNotCompress"/>
  <w:footnotePr>
    <w:footnote w:id="0"/>
    <w:footnote w:id="1"/>
  </w:footnotePr>
  <w:compat>
    <w:doNotExpandShiftReturn/>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BlZjllMzFmMmY0YzFmZTFmZWYxYTRhZTIwMGEzNDQifQ=="/>
  </w:docVars>
  <w:rsids>
    <w:rsidRoot w:val="00BA5B2D"/>
    <w:rsid w:val="00B06B85"/>
    <w:rsid w:val="00BA5B2D"/>
    <w:rsid w:val="4DAE05DD"/>
    <w:rsid w:val="7AEA6B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unhideWhenUsed="0" w:uiPriority="0" w:semiHidden="0" w:name="Normal"/>
    <w:lsdException w:unhideWhenUsed="0" w:uiPriority="4294967295" w:semiHidden="0" w:name="heading 1"/>
    <w:lsdException w:unhideWhenUsed="0" w:uiPriority="4294967295" w:semiHidden="0" w:name="heading 2"/>
    <w:lsdException w:unhideWhenUsed="0" w:uiPriority="4294967295" w:semiHidden="0" w:name="heading 3"/>
    <w:lsdException w:unhideWhenUsed="0" w:uiPriority="4294967295" w:semiHidden="0" w:name="heading 4"/>
    <w:lsdException w:unhideWhenUsed="0" w:uiPriority="4294967295" w:semiHidden="0" w:name="heading 5"/>
    <w:lsdException w:unhideWhenUsed="0" w:uiPriority="4294967295" w:semiHidden="0" w:name="heading 6"/>
    <w:lsdException w:unhideWhenUsed="0" w:uiPriority="4294967295" w:semiHidden="0" w:name="heading 7"/>
    <w:lsdException w:unhideWhenUsed="0" w:uiPriority="4294967295" w:semiHidden="0" w:name="heading 8"/>
    <w:lsdException w:unhideWhenUsed="0" w:uiPriority="4294967295" w:semiHidden="0" w:name="heading 9"/>
    <w:lsdException w:unhideWhenUsed="0" w:uiPriority="4294967295" w:semiHidden="0" w:name="index 1"/>
    <w:lsdException w:unhideWhenUsed="0" w:uiPriority="4294967295" w:semiHidden="0" w:name="index 2"/>
    <w:lsdException w:unhideWhenUsed="0" w:uiPriority="4294967295" w:semiHidden="0" w:name="index 3"/>
    <w:lsdException w:unhideWhenUsed="0" w:uiPriority="4294967295" w:semiHidden="0" w:name="index 4"/>
    <w:lsdException w:unhideWhenUsed="0" w:uiPriority="4294967295" w:semiHidden="0" w:name="index 5"/>
    <w:lsdException w:unhideWhenUsed="0" w:uiPriority="4294967295" w:semiHidden="0" w:name="index 6"/>
    <w:lsdException w:unhideWhenUsed="0" w:uiPriority="4294967295" w:semiHidden="0" w:name="index 7"/>
    <w:lsdException w:unhideWhenUsed="0" w:uiPriority="4294967295" w:semiHidden="0" w:name="index 8"/>
    <w:lsdException w:unhideWhenUsed="0" w:uiPriority="4294967295" w:semiHidden="0" w:name="index 9"/>
    <w:lsdException w:unhideWhenUsed="0" w:uiPriority="4294967295" w:semiHidden="0" w:name="toc 1"/>
    <w:lsdException w:unhideWhenUsed="0" w:uiPriority="4294967295" w:semiHidden="0" w:name="toc 2"/>
    <w:lsdException w:unhideWhenUsed="0" w:uiPriority="4294967295" w:semiHidden="0" w:name="toc 3"/>
    <w:lsdException w:unhideWhenUsed="0" w:uiPriority="4294967295" w:semiHidden="0" w:name="toc 4"/>
    <w:lsdException w:unhideWhenUsed="0" w:uiPriority="4294967295" w:semiHidden="0" w:name="toc 5"/>
    <w:lsdException w:unhideWhenUsed="0" w:uiPriority="4294967295" w:semiHidden="0" w:name="toc 6"/>
    <w:lsdException w:unhideWhenUsed="0" w:uiPriority="4294967295" w:semiHidden="0" w:name="toc 7"/>
    <w:lsdException w:unhideWhenUsed="0" w:uiPriority="4294967295" w:semiHidden="0" w:name="toc 8"/>
    <w:lsdException w:unhideWhenUsed="0" w:uiPriority="4294967295" w:semiHidden="0" w:name="toc 9"/>
    <w:lsdException w:unhideWhenUsed="0" w:uiPriority="4294967295" w:semiHidden="0" w:name="Normal Indent"/>
    <w:lsdException w:unhideWhenUsed="0" w:uiPriority="4294967295" w:semiHidden="0" w:name="footnote text"/>
    <w:lsdException w:unhideWhenUsed="0" w:uiPriority="4294967295" w:semiHidden="0" w:name="annotation text"/>
    <w:lsdException w:unhideWhenUsed="0" w:uiPriority="4294967295" w:semiHidden="0" w:name="header"/>
    <w:lsdException w:unhideWhenUsed="0" w:uiPriority="4294967295" w:semiHidden="0" w:name="footer"/>
    <w:lsdException w:unhideWhenUsed="0" w:uiPriority="4294967295" w:semiHidden="0" w:name="index heading"/>
    <w:lsdException w:unhideWhenUsed="0" w:uiPriority="4294967295" w:semiHidden="0" w:name="caption"/>
    <w:lsdException w:unhideWhenUsed="0" w:uiPriority="4294967295" w:semiHidden="0" w:name="table of figures"/>
    <w:lsdException w:unhideWhenUsed="0" w:uiPriority="4294967295" w:semiHidden="0" w:name="envelope address"/>
    <w:lsdException w:unhideWhenUsed="0" w:uiPriority="4294967295" w:semiHidden="0" w:name="envelope return"/>
    <w:lsdException w:unhideWhenUsed="0" w:uiPriority="4294967295" w:semiHidden="0" w:name="footnote reference"/>
    <w:lsdException w:unhideWhenUsed="0" w:uiPriority="4294967295" w:semiHidden="0" w:name="annotation reference"/>
    <w:lsdException w:unhideWhenUsed="0" w:uiPriority="4294967295" w:semiHidden="0" w:name="line number"/>
    <w:lsdException w:unhideWhenUsed="0" w:uiPriority="4294967295" w:semiHidden="0" w:name="page number"/>
    <w:lsdException w:unhideWhenUsed="0" w:uiPriority="4294967295" w:semiHidden="0" w:name="endnote reference"/>
    <w:lsdException w:unhideWhenUsed="0" w:uiPriority="4294967295" w:semiHidden="0" w:name="endnote text"/>
    <w:lsdException w:unhideWhenUsed="0" w:uiPriority="4294967295" w:semiHidden="0" w:name="table of authorities"/>
    <w:lsdException w:unhideWhenUsed="0" w:uiPriority="4294967295" w:semiHidden="0" w:name="macro"/>
    <w:lsdException w:unhideWhenUsed="0" w:uiPriority="4294967295" w:semiHidden="0" w:name="toa heading"/>
    <w:lsdException w:unhideWhenUsed="0" w:uiPriority="4294967295" w:semiHidden="0" w:name="List"/>
    <w:lsdException w:unhideWhenUsed="0" w:uiPriority="4294967295" w:semiHidden="0" w:name="List Bullet"/>
    <w:lsdException w:unhideWhenUsed="0" w:uiPriority="4294967295" w:semiHidden="0" w:name="List Number"/>
    <w:lsdException w:unhideWhenUsed="0" w:uiPriority="4294967295" w:semiHidden="0" w:name="List 2"/>
    <w:lsdException w:unhideWhenUsed="0" w:uiPriority="4294967295" w:semiHidden="0" w:name="List 3"/>
    <w:lsdException w:unhideWhenUsed="0" w:uiPriority="4294967295" w:semiHidden="0" w:name="List 4"/>
    <w:lsdException w:unhideWhenUsed="0" w:uiPriority="4294967295" w:semiHidden="0" w:name="List 5"/>
    <w:lsdException w:unhideWhenUsed="0" w:uiPriority="4294967295" w:semiHidden="0" w:name="List Bullet 2"/>
    <w:lsdException w:unhideWhenUsed="0" w:uiPriority="4294967295" w:semiHidden="0" w:name="List Bullet 3"/>
    <w:lsdException w:unhideWhenUsed="0" w:uiPriority="4294967295" w:semiHidden="0" w:name="List Bullet 4"/>
    <w:lsdException w:unhideWhenUsed="0" w:uiPriority="4294967295" w:semiHidden="0" w:name="List Bullet 5"/>
    <w:lsdException w:unhideWhenUsed="0" w:uiPriority="4294967295" w:semiHidden="0" w:name="List Number 2"/>
    <w:lsdException w:unhideWhenUsed="0" w:uiPriority="4294967295" w:semiHidden="0" w:name="List Number 3"/>
    <w:lsdException w:unhideWhenUsed="0" w:uiPriority="4294967295" w:semiHidden="0" w:name="List Number 4"/>
    <w:lsdException w:unhideWhenUsed="0" w:uiPriority="4294967295" w:semiHidden="0" w:name="List Number 5"/>
    <w:lsdException w:unhideWhenUsed="0" w:uiPriority="4294967295" w:semiHidden="0" w:name="Title"/>
    <w:lsdException w:unhideWhenUsed="0" w:uiPriority="4294967295" w:semiHidden="0" w:name="Closing"/>
    <w:lsdException w:unhideWhenUsed="0" w:uiPriority="4294967295" w:semiHidden="0" w:name="Signature"/>
    <w:lsdException w:unhideWhenUsed="0" w:uiPriority="0" w:name="Default Paragraph Font"/>
    <w:lsdException w:unhideWhenUsed="0" w:uiPriority="4294967295" w:semiHidden="0" w:name="Body Text"/>
    <w:lsdException w:unhideWhenUsed="0" w:uiPriority="4294967295" w:semiHidden="0" w:name="Body Text Indent"/>
    <w:lsdException w:unhideWhenUsed="0" w:uiPriority="4294967295" w:semiHidden="0" w:name="List Continue"/>
    <w:lsdException w:unhideWhenUsed="0" w:uiPriority="4294967295" w:semiHidden="0" w:name="List Continue 2"/>
    <w:lsdException w:unhideWhenUsed="0" w:uiPriority="4294967295" w:semiHidden="0" w:name="List Continue 3"/>
    <w:lsdException w:unhideWhenUsed="0" w:uiPriority="4294967295" w:semiHidden="0" w:name="List Continue 4"/>
    <w:lsdException w:unhideWhenUsed="0" w:uiPriority="4294967295" w:semiHidden="0" w:name="List Continue 5"/>
    <w:lsdException w:unhideWhenUsed="0" w:uiPriority="4294967295" w:semiHidden="0" w:name="Message Header"/>
    <w:lsdException w:unhideWhenUsed="0" w:uiPriority="4294967295" w:semiHidden="0" w:name="Subtitle"/>
    <w:lsdException w:unhideWhenUsed="0" w:uiPriority="4294967295" w:semiHidden="0" w:name="Salutation"/>
    <w:lsdException w:unhideWhenUsed="0" w:uiPriority="4294967295" w:semiHidden="0" w:name="Date"/>
    <w:lsdException w:unhideWhenUsed="0" w:uiPriority="4294967295" w:semiHidden="0" w:name="Body Text First Indent"/>
    <w:lsdException w:unhideWhenUsed="0" w:uiPriority="4294967295" w:semiHidden="0" w:name="Body Text First Indent 2"/>
    <w:lsdException w:unhideWhenUsed="0" w:uiPriority="4294967295" w:semiHidden="0" w:name="Note Heading"/>
    <w:lsdException w:unhideWhenUsed="0" w:uiPriority="4294967295" w:semiHidden="0" w:name="Body Text 2"/>
    <w:lsdException w:unhideWhenUsed="0" w:uiPriority="4294967295" w:semiHidden="0" w:name="Body Text 3"/>
    <w:lsdException w:unhideWhenUsed="0" w:uiPriority="4294967295" w:semiHidden="0" w:name="Body Text Indent 2"/>
    <w:lsdException w:unhideWhenUsed="0" w:uiPriority="4294967295" w:semiHidden="0" w:name="Body Text Indent 3"/>
    <w:lsdException w:unhideWhenUsed="0" w:uiPriority="4294967295" w:semiHidden="0" w:name="Block Text"/>
    <w:lsdException w:unhideWhenUsed="0" w:uiPriority="4294967295" w:semiHidden="0" w:name="Hyperlink"/>
    <w:lsdException w:unhideWhenUsed="0" w:uiPriority="4294967295" w:semiHidden="0" w:name="FollowedHyperlink"/>
    <w:lsdException w:unhideWhenUsed="0" w:uiPriority="4294967295" w:semiHidden="0" w:name="Strong"/>
    <w:lsdException w:unhideWhenUsed="0" w:uiPriority="4294967295" w:semiHidden="0" w:name="Emphasis"/>
    <w:lsdException w:unhideWhenUsed="0" w:uiPriority="4294967295" w:semiHidden="0" w:name="Document Map"/>
    <w:lsdException w:unhideWhenUsed="0" w:uiPriority="4294967295" w:semiHidden="0" w:name="Plain Text"/>
    <w:lsdException w:unhideWhenUsed="0" w:uiPriority="4294967295" w:semiHidden="0" w:name="E-mail Signature"/>
    <w:lsdException w:unhideWhenUsed="0" w:uiPriority="4294967295" w:semiHidden="0" w:name="Normal (Web)"/>
    <w:lsdException w:unhideWhenUsed="0" w:uiPriority="4294967295" w:semiHidden="0" w:name="HTML Acronym"/>
    <w:lsdException w:unhideWhenUsed="0" w:uiPriority="4294967295" w:semiHidden="0" w:name="HTML Address"/>
    <w:lsdException w:unhideWhenUsed="0" w:uiPriority="4294967295" w:semiHidden="0" w:name="HTML Cite"/>
    <w:lsdException w:unhideWhenUsed="0" w:uiPriority="4294967295" w:semiHidden="0" w:name="HTML Code"/>
    <w:lsdException w:unhideWhenUsed="0" w:uiPriority="4294967295" w:semiHidden="0" w:name="HTML Definition"/>
    <w:lsdException w:unhideWhenUsed="0" w:uiPriority="4294967295" w:semiHidden="0" w:name="HTML Keyboard"/>
    <w:lsdException w:unhideWhenUsed="0" w:uiPriority="4294967295" w:semiHidden="0" w:name="HTML Preformatted"/>
    <w:lsdException w:unhideWhenUsed="0" w:uiPriority="4294967295" w:semiHidden="0" w:name="HTML Sample"/>
    <w:lsdException w:unhideWhenUsed="0" w:uiPriority="4294967295" w:semiHidden="0" w:name="HTML Typewriter"/>
    <w:lsdException w:unhideWhenUsed="0" w:uiPriority="4294967295" w:semiHidden="0" w:name="HTML Variable"/>
    <w:lsdException w:unhideWhenUsed="0" w:uiPriority="4294967295" w:semiHidden="0" w:name="Normal Table"/>
    <w:lsdException w:unhideWhenUsed="0" w:uiPriority="4294967295" w:semiHidden="0" w:name="annotation subject"/>
    <w:lsdException w:unhideWhenUsed="0" w:uiPriority="0" w:name="No List"/>
    <w:lsdException w:unhideWhenUsed="0" w:uiPriority="4294967295" w:semiHidden="0" w:name="Table Simple 1"/>
    <w:lsdException w:unhideWhenUsed="0" w:uiPriority="4294967295" w:semiHidden="0" w:name="Table Simple 2"/>
    <w:lsdException w:unhideWhenUsed="0" w:uiPriority="4294967295" w:semiHidden="0" w:name="Table Simple 3"/>
    <w:lsdException w:unhideWhenUsed="0" w:uiPriority="4294967295" w:semiHidden="0" w:name="Table Classic 1"/>
    <w:lsdException w:unhideWhenUsed="0" w:uiPriority="4294967295" w:semiHidden="0" w:name="Table Classic 2"/>
    <w:lsdException w:unhideWhenUsed="0" w:uiPriority="4294967295" w:semiHidden="0" w:name="Table Classic 3"/>
    <w:lsdException w:unhideWhenUsed="0" w:uiPriority="4294967295" w:semiHidden="0" w:name="Table Classic 4"/>
    <w:lsdException w:unhideWhenUsed="0" w:uiPriority="4294967295" w:semiHidden="0" w:name="Table Colorful 1"/>
    <w:lsdException w:unhideWhenUsed="0" w:uiPriority="4294967295" w:semiHidden="0" w:name="Table Colorful 2"/>
    <w:lsdException w:unhideWhenUsed="0" w:uiPriority="4294967295" w:semiHidden="0" w:name="Table Colorful 3"/>
    <w:lsdException w:unhideWhenUsed="0" w:uiPriority="4294967295" w:semiHidden="0" w:name="Table Columns 1"/>
    <w:lsdException w:unhideWhenUsed="0" w:uiPriority="4294967295" w:semiHidden="0" w:name="Table Columns 2"/>
    <w:lsdException w:unhideWhenUsed="0" w:uiPriority="4294967295" w:semiHidden="0" w:name="Table Columns 3"/>
    <w:lsdException w:unhideWhenUsed="0" w:uiPriority="4294967295" w:semiHidden="0" w:name="Table Columns 4"/>
    <w:lsdException w:unhideWhenUsed="0" w:uiPriority="4294967295" w:semiHidden="0" w:name="Table Columns 5"/>
    <w:lsdException w:unhideWhenUsed="0" w:uiPriority="4294967295" w:semiHidden="0" w:name="Table Grid 1"/>
    <w:lsdException w:unhideWhenUsed="0" w:uiPriority="4294967295" w:semiHidden="0" w:name="Table Grid 2"/>
    <w:lsdException w:unhideWhenUsed="0" w:uiPriority="4294967295" w:semiHidden="0" w:name="Table Grid 3"/>
    <w:lsdException w:unhideWhenUsed="0" w:uiPriority="4294967295" w:semiHidden="0" w:name="Table Grid 4"/>
    <w:lsdException w:unhideWhenUsed="0" w:uiPriority="4294967295" w:semiHidden="0" w:name="Table Grid 5"/>
    <w:lsdException w:unhideWhenUsed="0" w:uiPriority="4294967295" w:semiHidden="0" w:name="Table Grid 6"/>
    <w:lsdException w:unhideWhenUsed="0" w:uiPriority="4294967295" w:semiHidden="0" w:name="Table Grid 7"/>
    <w:lsdException w:unhideWhenUsed="0" w:uiPriority="4294967295" w:semiHidden="0" w:name="Table Grid 8"/>
    <w:lsdException w:unhideWhenUsed="0" w:uiPriority="4294967295" w:semiHidden="0" w:name="Table List 1"/>
    <w:lsdException w:unhideWhenUsed="0" w:uiPriority="4294967295" w:semiHidden="0" w:name="Table List 2"/>
    <w:lsdException w:unhideWhenUsed="0" w:uiPriority="4294967295" w:semiHidden="0" w:name="Table List 3"/>
    <w:lsdException w:unhideWhenUsed="0" w:uiPriority="4294967295" w:semiHidden="0" w:name="Table List 4"/>
    <w:lsdException w:unhideWhenUsed="0" w:uiPriority="4294967295" w:semiHidden="0" w:name="Table List 5"/>
    <w:lsdException w:unhideWhenUsed="0" w:uiPriority="4294967295" w:semiHidden="0" w:name="Table List 6"/>
    <w:lsdException w:unhideWhenUsed="0" w:uiPriority="4294967295" w:semiHidden="0" w:name="Table List 7"/>
    <w:lsdException w:unhideWhenUsed="0" w:uiPriority="4294967295" w:semiHidden="0" w:name="Table List 8"/>
    <w:lsdException w:unhideWhenUsed="0" w:uiPriority="4294967295" w:semiHidden="0" w:name="Table 3D effects 1"/>
    <w:lsdException w:unhideWhenUsed="0" w:uiPriority="4294967295" w:semiHidden="0" w:name="Table 3D effects 2"/>
    <w:lsdException w:unhideWhenUsed="0" w:uiPriority="4294967295" w:semiHidden="0" w:name="Table 3D effects 3"/>
    <w:lsdException w:unhideWhenUsed="0" w:uiPriority="4294967295" w:semiHidden="0" w:name="Table Contemporary"/>
    <w:lsdException w:unhideWhenUsed="0" w:uiPriority="4294967295" w:semiHidden="0" w:name="Table Elegant"/>
    <w:lsdException w:unhideWhenUsed="0" w:uiPriority="4294967295" w:semiHidden="0" w:name="Table Professional"/>
    <w:lsdException w:unhideWhenUsed="0" w:uiPriority="4294967295" w:semiHidden="0" w:name="Table Subtle 1"/>
    <w:lsdException w:unhideWhenUsed="0" w:uiPriority="4294967295" w:semiHidden="0" w:name="Table Subtle 2"/>
    <w:lsdException w:unhideWhenUsed="0" w:uiPriority="4294967295" w:semiHidden="0" w:name="Table Web 1"/>
    <w:lsdException w:unhideWhenUsed="0" w:uiPriority="4294967295" w:semiHidden="0" w:name="Table Web 2"/>
    <w:lsdException w:unhideWhenUsed="0" w:uiPriority="4294967295" w:semiHidden="0" w:name="Table Web 3"/>
    <w:lsdException w:unhideWhenUsed="0" w:uiPriority="4294967295" w:semiHidden="0" w:name="Balloon Text"/>
    <w:lsdException w:unhideWhenUsed="0" w:uiPriority="4294967295" w:semiHidden="0" w:name="Table Grid"/>
    <w:lsdException w:unhideWhenUsed="0" w:uiPriority="4294967295"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link w:val="4"/>
    <w:uiPriority w:val="0"/>
    <w:pPr>
      <w:spacing w:before="120" w:after="240"/>
      <w:jc w:val="both"/>
    </w:pPr>
    <w:rPr>
      <w:sz w:val="22"/>
      <w:szCs w:val="22"/>
      <w:lang w:val="en-US" w:eastAsia="en-US" w:bidi="ar-SA"/>
    </w:rPr>
  </w:style>
  <w:style w:type="character" w:default="1" w:styleId="4">
    <w:name w:val="Default Paragraph Font"/>
    <w:link w:val="1"/>
    <w:semiHidden/>
    <w:uiPriority w:val="0"/>
  </w:style>
  <w:style w:type="table" w:default="1" w:styleId="3">
    <w:name w:val="Normal Table"/>
    <w:uiPriority w:val="4294967295"/>
    <w:tblPr>
      <w:tblCellMar>
        <w:top w:w="0" w:type="dxa"/>
        <w:left w:w="108" w:type="dxa"/>
        <w:bottom w:w="0" w:type="dxa"/>
        <w:right w:w="108" w:type="dxa"/>
      </w:tblCellMar>
    </w:tblPr>
  </w:style>
  <w:style w:type="paragraph" w:default="1" w:styleId="6">
    <w:name w:val="No List"/>
    <w:semiHidden/>
    <w:uiPriority w:val="0"/>
    <w:rPr>
      <w:sz w:val="21"/>
      <w:szCs w:val="22"/>
    </w:rPr>
  </w:style>
  <w:style w:type="paragraph" w:styleId="2">
    <w:name w:val="Normal (Web)"/>
    <w:basedOn w:val="1"/>
    <w:uiPriority w:val="4294967295"/>
    <w:rPr>
      <w:sz w:val="24"/>
    </w:rPr>
  </w:style>
  <w:style w:type="table" w:customStyle="1" w:styleId="5">
    <w:name w:val="Table Normal"/>
    <w:semiHidden/>
    <w:uiPriority w:val="0"/>
    <w:tblPr>
      <w:tblCellMar>
        <w:top w:w="0" w:type="dxa"/>
        <w:left w:w="108" w:type="dxa"/>
        <w:bottom w:w="0" w:type="dxa"/>
        <w:right w:w="0" w:type="dxa"/>
      </w:tblCellMar>
    </w:tblPr>
  </w:style>
</w:styles>
</file>

<file path=word/_rels/document.xml.rels><?xml version="1.0" encoding="UTF-8" standalone="yes"?>
<Relationships xmlns="http://schemas.openxmlformats.org/package/2006/relationships"><Relationship Id="rId5" Type="http://schemas.openxmlformats.org/officeDocument/2006/relationships/fontTable" Target="fontTable.xml"/><Relationship Id="rId4" Type="http://schemas.openxmlformats.org/officeDocument/2006/relationships/theme" Target="theme/theme1.xml"/><Relationship Id="rId3" Type="http://schemas.openxmlformats.org/officeDocument/2006/relationships/footnotes" Target="footnotes.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Aspose</Company>
  <Pages>5</Pages>
  <Words>2600</Words>
  <Characters>2650</Characters>
  <Lines>121</Lines>
  <Paragraphs>121</Paragraphs>
  <TotalTime>3</TotalTime>
  <ScaleCrop>false</ScaleCrop>
  <LinksUpToDate>false</LinksUpToDate>
  <CharactersWithSpaces>2875</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2022-05-11T15:31:00Z</dcterms:created>
  <dc:creator>ASUS</dc:creator>
  <cp:lastModifiedBy>Administrator</cp:lastModifiedBy>
  <dcterms:modified xsi:type="dcterms:W3CDTF">2023-04-26T08:30:50Z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40C9074747D94E20B44DE342078D3FD3_12</vt:lpwstr>
  </property>
</Properties>
</file>